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3EE99" w14:textId="77777777" w:rsidR="00CA0AAA" w:rsidRDefault="00CA0AAA" w:rsidP="00CA0AA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053C9A5" wp14:editId="28441E6D">
            <wp:extent cx="3941064" cy="1353312"/>
            <wp:effectExtent l="0" t="0" r="2540" b="0"/>
            <wp:docPr id="1" name="Picture 1" descr="Virginia Aquarium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irginia Aquarium Logo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064" cy="1353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02151A" w14:textId="77777777" w:rsidR="00CA0AAA" w:rsidRDefault="00CA0AAA" w:rsidP="00A722F6">
      <w:pPr>
        <w:pStyle w:val="Heading1"/>
        <w:jc w:val="center"/>
      </w:pPr>
      <w:r>
        <w:t>Giving Appreciated Stock</w:t>
      </w:r>
    </w:p>
    <w:p w14:paraId="06F05B31" w14:textId="77777777" w:rsidR="00CA0AAA" w:rsidRDefault="00CA0AAA" w:rsidP="00CA0AAA">
      <w:pPr>
        <w:jc w:val="center"/>
        <w:rPr>
          <w:b/>
          <w:sz w:val="24"/>
          <w:szCs w:val="24"/>
        </w:rPr>
      </w:pPr>
    </w:p>
    <w:p w14:paraId="4DE72AFC" w14:textId="220648EE" w:rsidR="00CA0AAA" w:rsidRPr="00CA0AAA" w:rsidRDefault="00CA0AAA" w:rsidP="00CA0AAA">
      <w:pPr>
        <w:rPr>
          <w:sz w:val="24"/>
          <w:szCs w:val="24"/>
        </w:rPr>
      </w:pPr>
      <w:r>
        <w:rPr>
          <w:sz w:val="24"/>
          <w:szCs w:val="24"/>
        </w:rPr>
        <w:t>Thank you for your interest in making a gift of appreciated stock to support the Virginia Aquarium &amp; Marine Science Center</w:t>
      </w:r>
      <w:r w:rsidR="00033129">
        <w:rPr>
          <w:sz w:val="24"/>
          <w:szCs w:val="24"/>
        </w:rPr>
        <w:t xml:space="preserve"> Foundation, Inc.</w:t>
      </w:r>
      <w:r>
        <w:rPr>
          <w:sz w:val="24"/>
          <w:szCs w:val="24"/>
        </w:rPr>
        <w:t xml:space="preserve">  Giving securities is an easy and tax-wise way to show your support. As the owner of stocks or bonds that have appreciated in value, selling these assets incurs capital gains taxes. Donating these securities is </w:t>
      </w:r>
      <w:r w:rsidR="00D5013F">
        <w:rPr>
          <w:sz w:val="24"/>
          <w:szCs w:val="24"/>
        </w:rPr>
        <w:t xml:space="preserve">likely </w:t>
      </w:r>
      <w:r>
        <w:rPr>
          <w:sz w:val="24"/>
          <w:szCs w:val="24"/>
        </w:rPr>
        <w:t xml:space="preserve">a </w:t>
      </w:r>
      <w:r w:rsidR="00033129">
        <w:rPr>
          <w:sz w:val="24"/>
          <w:szCs w:val="24"/>
        </w:rPr>
        <w:t>cost-effective</w:t>
      </w:r>
      <w:r>
        <w:rPr>
          <w:sz w:val="24"/>
          <w:szCs w:val="24"/>
        </w:rPr>
        <w:t xml:space="preserve"> way to make a charitable gift.</w:t>
      </w:r>
    </w:p>
    <w:p w14:paraId="3868EAA0" w14:textId="77777777" w:rsidR="00CA0AAA" w:rsidRDefault="00CA0AAA" w:rsidP="00842BE3">
      <w:pPr>
        <w:rPr>
          <w:sz w:val="24"/>
          <w:szCs w:val="24"/>
        </w:rPr>
      </w:pPr>
    </w:p>
    <w:p w14:paraId="2BFDD73D" w14:textId="77777777" w:rsidR="00CA0AAA" w:rsidRDefault="00033C5D" w:rsidP="00A722F6">
      <w:pPr>
        <w:pStyle w:val="Heading2"/>
      </w:pPr>
      <w:r>
        <w:t>Benefits of Giving Appreciate Stock:</w:t>
      </w:r>
    </w:p>
    <w:p w14:paraId="44371434" w14:textId="68FDBF00" w:rsidR="00033C5D" w:rsidRDefault="00033C5D" w:rsidP="000328D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charitable tax deduction equal to the full fair market value of the securities at the time of your gift</w:t>
      </w:r>
      <w:r w:rsidR="000328DD">
        <w:rPr>
          <w:sz w:val="24"/>
          <w:szCs w:val="24"/>
        </w:rPr>
        <w:t xml:space="preserve"> (</w:t>
      </w:r>
      <w:r w:rsidR="000328DD" w:rsidRPr="000328DD">
        <w:rPr>
          <w:sz w:val="24"/>
          <w:szCs w:val="24"/>
        </w:rPr>
        <w:t xml:space="preserve">subject to IRS </w:t>
      </w:r>
      <w:r w:rsidR="000328DD">
        <w:rPr>
          <w:sz w:val="24"/>
          <w:szCs w:val="24"/>
        </w:rPr>
        <w:t>rules and</w:t>
      </w:r>
      <w:r w:rsidR="000328DD" w:rsidRPr="000328DD">
        <w:rPr>
          <w:sz w:val="24"/>
          <w:szCs w:val="24"/>
        </w:rPr>
        <w:t xml:space="preserve"> limitations</w:t>
      </w:r>
      <w:r w:rsidR="000328DD">
        <w:rPr>
          <w:sz w:val="24"/>
          <w:szCs w:val="24"/>
        </w:rPr>
        <w:t>)</w:t>
      </w:r>
    </w:p>
    <w:p w14:paraId="100EEEF4" w14:textId="1F53B2C4" w:rsidR="00033C5D" w:rsidRDefault="00033C5D" w:rsidP="00033C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Avoidance of the capital gains tax on the increased value</w:t>
      </w:r>
    </w:p>
    <w:p w14:paraId="27F1B4E0" w14:textId="276D188D" w:rsidR="00033C5D" w:rsidRDefault="00033C5D" w:rsidP="00033C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Donating securities is </w:t>
      </w:r>
      <w:proofErr w:type="gramStart"/>
      <w:r>
        <w:rPr>
          <w:sz w:val="24"/>
          <w:szCs w:val="24"/>
        </w:rPr>
        <w:t>easy</w:t>
      </w:r>
      <w:proofErr w:type="gramEnd"/>
    </w:p>
    <w:p w14:paraId="7EB4AB9F" w14:textId="77777777" w:rsidR="00033C5D" w:rsidRPr="00A722F6" w:rsidRDefault="00033C5D" w:rsidP="00A722F6">
      <w:pPr>
        <w:pStyle w:val="Heading2"/>
        <w:rPr>
          <w:bCs/>
        </w:rPr>
      </w:pPr>
    </w:p>
    <w:p w14:paraId="7428E014" w14:textId="77777777" w:rsidR="00033C5D" w:rsidRPr="00A722F6" w:rsidRDefault="00033C5D" w:rsidP="00A722F6">
      <w:pPr>
        <w:pStyle w:val="Heading2"/>
        <w:rPr>
          <w:bCs/>
        </w:rPr>
      </w:pPr>
      <w:r w:rsidRPr="00A722F6">
        <w:rPr>
          <w:bCs/>
        </w:rPr>
        <w:t>Making Your Gift with Appreciated Stock by Electronic Transfer:</w:t>
      </w:r>
    </w:p>
    <w:p w14:paraId="5F296011" w14:textId="50EED894" w:rsidR="00CA0AAA" w:rsidRDefault="00033C5D" w:rsidP="00842BE3">
      <w:pPr>
        <w:rPr>
          <w:sz w:val="24"/>
          <w:szCs w:val="24"/>
        </w:rPr>
      </w:pPr>
      <w:r>
        <w:rPr>
          <w:sz w:val="24"/>
          <w:szCs w:val="24"/>
        </w:rPr>
        <w:t>Giving stock through electronic transfer is the easiest method to make your gift when you maintain holdings in a brokerage account. You may transfer your stock electronically to the Virginia Aquarium’s clearing broker.</w:t>
      </w:r>
    </w:p>
    <w:p w14:paraId="51574F4E" w14:textId="5CBA30F6" w:rsidR="00033C5D" w:rsidRPr="00A55D2A" w:rsidRDefault="00674F50" w:rsidP="00A55D2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55D2A">
        <w:rPr>
          <w:sz w:val="24"/>
          <w:szCs w:val="24"/>
        </w:rPr>
        <w:t>Provide the following information to your transferring broker:</w:t>
      </w:r>
    </w:p>
    <w:p w14:paraId="1D8A4917" w14:textId="3728899D" w:rsidR="00674F50" w:rsidRDefault="00674F50" w:rsidP="00674F50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Account name</w:t>
      </w:r>
      <w:r w:rsidR="00FB4A59"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Virginia Aquarium</w:t>
      </w:r>
    </w:p>
    <w:p w14:paraId="5D22C475" w14:textId="0CC4B8A7" w:rsidR="00674F50" w:rsidRDefault="00674F50" w:rsidP="00674F50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Account numbe</w:t>
      </w:r>
      <w:r w:rsidR="00FB4A59">
        <w:rPr>
          <w:sz w:val="24"/>
          <w:szCs w:val="24"/>
        </w:rPr>
        <w:t>r:</w:t>
      </w:r>
      <w:r w:rsidR="003F757B">
        <w:rPr>
          <w:sz w:val="24"/>
          <w:szCs w:val="24"/>
        </w:rPr>
        <w:t xml:space="preserve"> 6706-4979</w:t>
      </w:r>
    </w:p>
    <w:p w14:paraId="19D792D3" w14:textId="58A1366F" w:rsidR="00674F50" w:rsidRDefault="00D52F4D" w:rsidP="00674F50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Charles Schwab </w:t>
      </w:r>
      <w:r w:rsidR="003F757B">
        <w:rPr>
          <w:sz w:val="24"/>
          <w:szCs w:val="24"/>
        </w:rPr>
        <w:t>DTC 0164</w:t>
      </w:r>
    </w:p>
    <w:p w14:paraId="7E2865B7" w14:textId="77777777" w:rsidR="00674F50" w:rsidRDefault="00674F50" w:rsidP="00674F50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Clearing Broker: </w:t>
      </w:r>
    </w:p>
    <w:p w14:paraId="05CB9B08" w14:textId="77777777" w:rsidR="003F757B" w:rsidRDefault="003F757B" w:rsidP="00674F50">
      <w:pPr>
        <w:pStyle w:val="ListParagraph"/>
        <w:ind w:left="1440"/>
        <w:rPr>
          <w:sz w:val="24"/>
          <w:szCs w:val="24"/>
        </w:rPr>
      </w:pPr>
      <w:proofErr w:type="spellStart"/>
      <w:r>
        <w:rPr>
          <w:sz w:val="24"/>
          <w:szCs w:val="24"/>
        </w:rPr>
        <w:t>Gratus</w:t>
      </w:r>
      <w:proofErr w:type="spellEnd"/>
      <w:r>
        <w:rPr>
          <w:sz w:val="24"/>
          <w:szCs w:val="24"/>
        </w:rPr>
        <w:t xml:space="preserve"> Wealth Advisors</w:t>
      </w:r>
    </w:p>
    <w:p w14:paraId="589EB1B4" w14:textId="709A11AE" w:rsidR="003F757B" w:rsidRDefault="003F757B" w:rsidP="00674F50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192 Ballard Court, Suite 401</w:t>
      </w:r>
    </w:p>
    <w:p w14:paraId="61A53EFD" w14:textId="1A1F8EA3" w:rsidR="003F757B" w:rsidRDefault="003F757B" w:rsidP="00674F50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Virginia Beach, VA 23462</w:t>
      </w:r>
    </w:p>
    <w:p w14:paraId="73CFFA06" w14:textId="0ECAECD6" w:rsidR="00674F50" w:rsidRPr="00674F50" w:rsidRDefault="003F757B" w:rsidP="00674F50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757-909-5500</w:t>
      </w:r>
      <w:r>
        <w:rPr>
          <w:sz w:val="24"/>
          <w:szCs w:val="24"/>
        </w:rPr>
        <w:br/>
      </w:r>
    </w:p>
    <w:p w14:paraId="0CB7A9ED" w14:textId="4B7B4ADA" w:rsidR="00CA0AAA" w:rsidRDefault="00745D7C" w:rsidP="00745D7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Please alert the Development Office at </w:t>
      </w:r>
      <w:r w:rsidR="00A55D2A">
        <w:rPr>
          <w:sz w:val="24"/>
          <w:szCs w:val="24"/>
        </w:rPr>
        <w:t>(</w:t>
      </w:r>
      <w:r>
        <w:rPr>
          <w:sz w:val="24"/>
          <w:szCs w:val="24"/>
        </w:rPr>
        <w:t>757</w:t>
      </w:r>
      <w:r w:rsidR="00A55D2A">
        <w:rPr>
          <w:sz w:val="24"/>
          <w:szCs w:val="24"/>
        </w:rPr>
        <w:t xml:space="preserve">) </w:t>
      </w:r>
      <w:r>
        <w:rPr>
          <w:sz w:val="24"/>
          <w:szCs w:val="24"/>
        </w:rPr>
        <w:t>385-</w:t>
      </w:r>
      <w:r w:rsidR="003C58C3">
        <w:rPr>
          <w:sz w:val="24"/>
          <w:szCs w:val="24"/>
        </w:rPr>
        <w:t>5104</w:t>
      </w:r>
      <w:r>
        <w:rPr>
          <w:sz w:val="24"/>
          <w:szCs w:val="24"/>
        </w:rPr>
        <w:t xml:space="preserve"> before the transfer so the Aquarium can </w:t>
      </w:r>
      <w:proofErr w:type="gramStart"/>
      <w:r>
        <w:rPr>
          <w:sz w:val="24"/>
          <w:szCs w:val="24"/>
        </w:rPr>
        <w:t>make arrangements</w:t>
      </w:r>
      <w:proofErr w:type="gramEnd"/>
      <w:r>
        <w:rPr>
          <w:sz w:val="24"/>
          <w:szCs w:val="24"/>
        </w:rPr>
        <w:t xml:space="preserve"> with its broker to receive the stock. The Aquarium cannot retain an unidentified security.</w:t>
      </w:r>
      <w:r w:rsidR="00D5013F">
        <w:rPr>
          <w:sz w:val="24"/>
          <w:szCs w:val="24"/>
        </w:rPr>
        <w:t xml:space="preserve"> The following information is required to process the transfer:</w:t>
      </w:r>
    </w:p>
    <w:p w14:paraId="7CFE9261" w14:textId="77777777" w:rsidR="00745D7C" w:rsidRDefault="00745D7C" w:rsidP="00745D7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Donor’s name</w:t>
      </w:r>
    </w:p>
    <w:p w14:paraId="4D4296A9" w14:textId="77777777" w:rsidR="00745D7C" w:rsidRDefault="00745D7C" w:rsidP="00745D7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Name of stock and number of shares</w:t>
      </w:r>
    </w:p>
    <w:p w14:paraId="0E9AC251" w14:textId="77777777" w:rsidR="00745D7C" w:rsidRDefault="00745D7C" w:rsidP="00745D7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Date of intended transfer</w:t>
      </w:r>
    </w:p>
    <w:p w14:paraId="621D46A2" w14:textId="77777777" w:rsidR="00745D7C" w:rsidRDefault="00745D7C" w:rsidP="00745D7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Indicate the purpose of the </w:t>
      </w:r>
      <w:proofErr w:type="gramStart"/>
      <w:r>
        <w:rPr>
          <w:sz w:val="24"/>
          <w:szCs w:val="24"/>
        </w:rPr>
        <w:t>contribution</w:t>
      </w:r>
      <w:proofErr w:type="gramEnd"/>
      <w:r>
        <w:rPr>
          <w:sz w:val="24"/>
          <w:szCs w:val="24"/>
        </w:rPr>
        <w:t xml:space="preserve"> </w:t>
      </w:r>
    </w:p>
    <w:p w14:paraId="7A694AC6" w14:textId="77777777" w:rsidR="004A6189" w:rsidRDefault="004A6189" w:rsidP="00CB5DE0">
      <w:pPr>
        <w:pStyle w:val="ListParagraph"/>
        <w:ind w:left="1440"/>
        <w:rPr>
          <w:sz w:val="24"/>
          <w:szCs w:val="24"/>
        </w:rPr>
      </w:pPr>
    </w:p>
    <w:p w14:paraId="66825C55" w14:textId="6D557BEF" w:rsidR="00745D7C" w:rsidRDefault="00716E1E" w:rsidP="00745D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THANK YOU!</w:t>
      </w:r>
    </w:p>
    <w:p w14:paraId="03805F10" w14:textId="77777777" w:rsidR="00483399" w:rsidRDefault="00483399" w:rsidP="00745D7C">
      <w:pPr>
        <w:jc w:val="center"/>
        <w:rPr>
          <w:b/>
          <w:sz w:val="24"/>
          <w:szCs w:val="24"/>
        </w:rPr>
      </w:pPr>
    </w:p>
    <w:p w14:paraId="321D0ABD" w14:textId="08C86FF7" w:rsidR="00716E1E" w:rsidRDefault="00923DEA" w:rsidP="00745D7C">
      <w:pPr>
        <w:jc w:val="center"/>
        <w:rPr>
          <w:sz w:val="24"/>
          <w:szCs w:val="24"/>
        </w:rPr>
      </w:pPr>
      <w:r>
        <w:rPr>
          <w:sz w:val="24"/>
          <w:szCs w:val="24"/>
        </w:rPr>
        <w:t>The Virginia Aquarium &amp; Marine Science Center Foundation</w:t>
      </w:r>
      <w:r w:rsidR="00716E1E">
        <w:rPr>
          <w:sz w:val="24"/>
          <w:szCs w:val="24"/>
        </w:rPr>
        <w:t xml:space="preserve">, </w:t>
      </w:r>
      <w:r w:rsidR="00A55D2A">
        <w:rPr>
          <w:sz w:val="24"/>
          <w:szCs w:val="24"/>
        </w:rPr>
        <w:t>(</w:t>
      </w:r>
      <w:r w:rsidR="00716E1E">
        <w:rPr>
          <w:sz w:val="24"/>
          <w:szCs w:val="24"/>
        </w:rPr>
        <w:t>757</w:t>
      </w:r>
      <w:r w:rsidR="00A55D2A">
        <w:rPr>
          <w:sz w:val="24"/>
          <w:szCs w:val="24"/>
        </w:rPr>
        <w:t xml:space="preserve">) </w:t>
      </w:r>
      <w:r w:rsidR="00716E1E">
        <w:rPr>
          <w:sz w:val="24"/>
          <w:szCs w:val="24"/>
        </w:rPr>
        <w:t>385-</w:t>
      </w:r>
      <w:r w:rsidR="003C58C3">
        <w:rPr>
          <w:sz w:val="24"/>
          <w:szCs w:val="24"/>
        </w:rPr>
        <w:t xml:space="preserve">5104 </w:t>
      </w:r>
    </w:p>
    <w:p w14:paraId="1F31B0AE" w14:textId="7C2F68C8" w:rsidR="00716E1E" w:rsidRPr="00716E1E" w:rsidRDefault="00716E1E" w:rsidP="00745D7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717 General Booth Blvd., Virginia Beach, VA 23451</w:t>
      </w:r>
    </w:p>
    <w:sectPr w:rsidR="00716E1E" w:rsidRPr="00716E1E" w:rsidSect="00F70275">
      <w:headerReference w:type="default" r:id="rId12"/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AD284" w14:textId="77777777" w:rsidR="00397D71" w:rsidRDefault="00397D71" w:rsidP="005E1F72">
      <w:r>
        <w:separator/>
      </w:r>
    </w:p>
  </w:endnote>
  <w:endnote w:type="continuationSeparator" w:id="0">
    <w:p w14:paraId="03BAC1D6" w14:textId="77777777" w:rsidR="00397D71" w:rsidRDefault="00397D71" w:rsidP="005E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C5D4B" w14:textId="77777777" w:rsidR="00397D71" w:rsidRDefault="00397D71" w:rsidP="005E1F72">
      <w:r>
        <w:separator/>
      </w:r>
    </w:p>
  </w:footnote>
  <w:footnote w:type="continuationSeparator" w:id="0">
    <w:p w14:paraId="79F82264" w14:textId="77777777" w:rsidR="00397D71" w:rsidRDefault="00397D71" w:rsidP="005E1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itle"/>
      <w:tag w:val=""/>
      <w:id w:val="-860203492"/>
      <w:placeholder>
        <w:docPart w:val="535586FA55FE4D6D90C5EDECB0D6EFA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9581B46" w14:textId="5011F8C7" w:rsidR="005E1F72" w:rsidRDefault="00E031D0">
        <w:pPr>
          <w:pStyle w:val="Header"/>
        </w:pPr>
        <w:r>
          <w:t>Giving Appreciated Stock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2474"/>
    <w:multiLevelType w:val="hybridMultilevel"/>
    <w:tmpl w:val="52F61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505E7"/>
    <w:multiLevelType w:val="hybridMultilevel"/>
    <w:tmpl w:val="44781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360887">
    <w:abstractNumId w:val="0"/>
  </w:num>
  <w:num w:numId="2" w16cid:durableId="249969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BE3"/>
    <w:rsid w:val="000328DD"/>
    <w:rsid w:val="00033129"/>
    <w:rsid w:val="00033C5D"/>
    <w:rsid w:val="0014223D"/>
    <w:rsid w:val="001567B3"/>
    <w:rsid w:val="002320F3"/>
    <w:rsid w:val="002F3248"/>
    <w:rsid w:val="003435CA"/>
    <w:rsid w:val="00344AE9"/>
    <w:rsid w:val="00350800"/>
    <w:rsid w:val="0037636B"/>
    <w:rsid w:val="00387299"/>
    <w:rsid w:val="00397D71"/>
    <w:rsid w:val="003C58C3"/>
    <w:rsid w:val="003F757B"/>
    <w:rsid w:val="00483399"/>
    <w:rsid w:val="004A6189"/>
    <w:rsid w:val="005056CD"/>
    <w:rsid w:val="005E1F72"/>
    <w:rsid w:val="0063319C"/>
    <w:rsid w:val="00674F50"/>
    <w:rsid w:val="00716E1E"/>
    <w:rsid w:val="00745D7C"/>
    <w:rsid w:val="00842BE3"/>
    <w:rsid w:val="008E36BA"/>
    <w:rsid w:val="008E721D"/>
    <w:rsid w:val="00923DEA"/>
    <w:rsid w:val="00966FEC"/>
    <w:rsid w:val="00A55D2A"/>
    <w:rsid w:val="00A722F6"/>
    <w:rsid w:val="00B6472C"/>
    <w:rsid w:val="00B87744"/>
    <w:rsid w:val="00CA0AAA"/>
    <w:rsid w:val="00CB5DE0"/>
    <w:rsid w:val="00D5013F"/>
    <w:rsid w:val="00D52F4D"/>
    <w:rsid w:val="00DD3B42"/>
    <w:rsid w:val="00E031D0"/>
    <w:rsid w:val="00E10A5F"/>
    <w:rsid w:val="00E318D5"/>
    <w:rsid w:val="00EA1A31"/>
    <w:rsid w:val="00F23818"/>
    <w:rsid w:val="00F51898"/>
    <w:rsid w:val="00F70275"/>
    <w:rsid w:val="00F71F52"/>
    <w:rsid w:val="00FB4A59"/>
    <w:rsid w:val="00FD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21CD2"/>
  <w15:chartTrackingRefBased/>
  <w15:docId w15:val="{8F855505-27BF-477D-BCC4-71DE44CC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BE3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2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2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C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5D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13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23818"/>
    <w:pPr>
      <w:spacing w:after="0" w:line="240" w:lineRule="auto"/>
    </w:pPr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722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22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1F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F7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E1F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F72"/>
    <w:rPr>
      <w:rFonts w:ascii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5E1F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5586FA55FE4D6D90C5EDECB0D6E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BDBA0-1800-4E00-86A8-6D41A7205A6B}"/>
      </w:docPartPr>
      <w:docPartBody>
        <w:p w:rsidR="00000000" w:rsidRDefault="00F154B8">
          <w:r w:rsidRPr="00801BA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B8"/>
    <w:rsid w:val="00AA6E97"/>
    <w:rsid w:val="00F1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4B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  <w:rsid w:val="00F154B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54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2CC5F19962A4F894FBC1019435AD4" ma:contentTypeVersion="16" ma:contentTypeDescription="Create a new document." ma:contentTypeScope="" ma:versionID="fe88e716240257239c3a9b29bf76df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1d9439b848dfef806668dc6b91174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4935A-7404-49FC-9F0F-3F0636A84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CB0371-2B84-4B3B-A566-5027DF4739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72B5BD-EB96-48BD-96F3-08A6982DD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146800-E733-40A1-95A6-406DE5F0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Virginia Beach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Giving Appreciated Stock</dc:title>
  <dc:subject/>
  <dc:creator>Suzanne M. Savage</dc:creator>
  <cp:keywords/>
  <dc:description/>
  <cp:lastModifiedBy>Emma R. Cruz</cp:lastModifiedBy>
  <cp:revision>16</cp:revision>
  <cp:lastPrinted>2024-06-13T12:25:00Z</cp:lastPrinted>
  <dcterms:created xsi:type="dcterms:W3CDTF">2022-06-09T18:19:00Z</dcterms:created>
  <dcterms:modified xsi:type="dcterms:W3CDTF">2024-07-09T15:19:00Z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0x0101002AF2CC5F19962A4F894FBC1019435AD4</vt:lpwstr>
  </property>
</Properties>
</file>